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426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 xml:space="preserve">Приложение 3</w:t>
      </w:r>
      <w:r>
        <w:rPr>
          <w:rFonts w:ascii="Times New Roman" w:hAnsi="Times New Roman" w:cs="Times New Roman"/>
          <w:sz w:val="20"/>
          <w:szCs w:val="20"/>
        </w:rPr>
      </w:r>
    </w:p>
    <w:p>
      <w:pPr>
        <w:ind w:left="-426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 расчетам прогноза доходов на 20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6-202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8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гг.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коду доходов 1 1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0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5032 02 0000 12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план на 2025 год утвержден 58,0 тыс. руб., фактическое поступление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месяцев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составляет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20,4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Ожидаемое исполнение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рассчитано с учетом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заключенных договоров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аренд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недвижимого имущества, находящегося в государственной собственности Новосибирской области,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 состоянию на 01.06.2025.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Снижение уровня поступления доходов за истекший период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по сравнению с фактом аналогичного периода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обусловлено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снижением арендной платы (арендная плата зависит от независимой оценочной стоимости 1 кв.м.).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Прогноз доходов на 2026-2028 годы рассчитан исходя из размера арендной платы в месяц согласно заключенными договорами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аренд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недвижимого имущества, находящегося в государственной собственности Новосибирской области,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состоянию на 01.06.2024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коду доходов 1 13 02062 02 0000 130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план на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утвержден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1 344,0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тыс. руб., фактическое поступление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месяцев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составляет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855,2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тыс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 руб., % исполнения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63,6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%.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Ожидаемое исполнение 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рассчитано с учетом повышения тарифов на оплату коммунальных услуг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в соответствии с утвержденным планом.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Снижение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уменьшение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) прогноза доходов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6-2028 годы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связан с применением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метода расчета – усреднение из расчета годовых поступлений денежных средств от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возмещения расходов, понесенных в связи с эксплуатацией имущества субъектов Российской Федерации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три предшествующих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, входящи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 расчет прогноза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/>
          <w:sz w:val="28"/>
          <w:szCs w:val="28"/>
          <w:highlight w:val="white"/>
        </w:rPr>
        <w:t xml:space="preserve">на основе данных бухгалтерского учета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коду доходов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1 13 02992 02 0000 130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утвержден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5 703,0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тыс. ру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б., фактическое поступление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месяцев 20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20 197,9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руб., % исполнения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128,6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%.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Ожидаемое исполнение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рассчитано с учетом фактических поступлений дебиторской задолженности прошлых лет от государственных казенных учреждений Новосибирской области центров социальной поддержки населения и государственных казенных учреждений Новосибирской области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центров занятости населения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 зависит от периодичности поступлений доходов.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Учитывая, что данный вид доходов относится к непрогнозируемым, прогноз доходов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6-2028 годы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сформирован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применением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метода расчета – усреднение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фактически поступающим платежам</w:t>
      </w:r>
      <w:r>
        <w:rPr>
          <w:rFonts w:ascii="Times New Roman" w:hAnsi="Times New Roman"/>
          <w:sz w:val="28"/>
          <w:szCs w:val="28"/>
          <w:highlight w:val="white"/>
        </w:rPr>
        <w:t xml:space="preserve"> на основе данных бухгалтерского учета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Факторами, оказавшими влияние являются: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31"/>
        <w:numPr>
          <w:ilvl w:val="0"/>
          <w:numId w:val="2"/>
        </w:numPr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наличие дебиторской задолженности прошлых лет по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выплате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мер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иальной поддержки отдельным категориям граждан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;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631"/>
        <w:numPr>
          <w:ilvl w:val="0"/>
          <w:numId w:val="2"/>
        </w:numPr>
        <w:ind w:left="0" w:firstLine="851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отсутствие возможности просчета возникшей дебиторской задолженности.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коду доходов 1 15 02020 02 0000 140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план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утвержден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80,9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тыс. руб., фактическое поступление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месяц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составляет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0,0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Снижение уровня поступления доходов за истекший период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по сравнению с фактом аналогичного периода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обусловлено отсутствием заявок на проведение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экспертиз качества специальной оценки условий труд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Прогноз доходов рассчитывается с учетом количества проведенных экспертиз качества специальной оценки условий труд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и стоимости экспертизы, определяемой в соответствии с приказом министерства труда, занятости и трудовых ресурсов Новосибирской области от 22.04.2015 № 225 «Об установлении размера платы за проведение экспертизы качества специальной оценки условий труда».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связи с тем, что государственную экспертизу условий труда в целях оценки качества специальной оценки условий труда осуществляет только МТСР НСО, план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6-2028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год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был сформирован с учетом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запланированных на плановый период экспертиз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коду доходов 1 16 00000 00 0000 140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«Штрафы, санкции, возмещение ущерба»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план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 утвержде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н в сумме 2 103,3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руб., фактическое поступление за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месяц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ев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составляет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473,0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тыс. руб., % исполнения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22,5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%.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Ожидаемое исполнение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рассчитано с учетом предполагаемых поступлений штрафов и пеней и зависит от периодичности их поступлений и изменения размеров штрафов в сторону увеличения согласно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КоАПРФ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Снижение уровня поступления доходов за истекший период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по сравнению с фактом аналогичного периода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4 года обусловлено отсутствием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поступлений штрафов и пеней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Учитывая, что данный вид доходов относится к непрогнозируемым, прогноз доходов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6-2028 годы сформирован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применением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метода расчета – усреднение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фактич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ески поступающим платежам</w:t>
      </w:r>
      <w:r>
        <w:rPr>
          <w:rFonts w:ascii="Times New Roman" w:hAnsi="Times New Roman"/>
          <w:sz w:val="28"/>
          <w:szCs w:val="28"/>
          <w:highlight w:val="white"/>
        </w:rPr>
        <w:t xml:space="preserve"> на основе данных бухгалтерского учета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/>
          <w:sz w:val="28"/>
          <w:szCs w:val="28"/>
          <w:highlight w:val="white"/>
        </w:rPr>
      </w:pPr>
      <w:r>
        <w:rPr>
          <w:rFonts w:ascii="Times New Roman" w:hAnsi="Times New Roman"/>
          <w:sz w:val="28"/>
          <w:szCs w:val="28"/>
          <w:highlight w:val="white"/>
        </w:rPr>
      </w:r>
      <w:r>
        <w:rPr>
          <w:rFonts w:ascii="Times New Roman" w:hAnsi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коду доходов 1 16 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1</w:t>
      </w:r>
      <w:r>
        <w:rPr>
          <w:rFonts w:ascii="Times New Roman" w:hAnsi="Times New Roman" w:cs="Times New Roman"/>
          <w:b/>
          <w:sz w:val="28"/>
          <w:szCs w:val="28"/>
          <w:highlight w:val="white"/>
        </w:rPr>
        <w:t xml:space="preserve">0000 00 0000 140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«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Платежи в целях возмещения причиненного ущерба (убытков)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» план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утвержден в сумме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840,8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тыс.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руб., фактическое поступление за 5 месяцев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года составляет 135,2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тыс. руб., % исполнения –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16,1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%.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Ожидаемое исполнение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рассчитано с учетом предполагаемых поступлений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возмещени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ю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причиненного ущерба (убытков)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и зависит от периодичности их поступлений и размер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а п</w:t>
      </w:r>
      <w:bookmarkStart w:id="0" w:name="_GoBack"/>
      <w:r>
        <w:rPr>
          <w:highlight w:val="white"/>
        </w:rPr>
      </w:r>
      <w:bookmarkEnd w:id="0"/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ричиненного ущерба (убытка)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Учитывая, что данный вид доходов относится к непрогнозируемым, прогноз доходов на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6-2028 годы сформирован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 применением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метода расчета – усреднение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по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фактич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ески поступающим платежам</w:t>
      </w:r>
      <w:r>
        <w:rPr>
          <w:rFonts w:ascii="Times New Roman" w:hAnsi="Times New Roman"/>
          <w:sz w:val="28"/>
          <w:szCs w:val="28"/>
          <w:highlight w:val="white"/>
        </w:rPr>
        <w:t xml:space="preserve"> на основе данных бухгалтерского учета</w:t>
      </w:r>
      <w:r>
        <w:rPr>
          <w:rFonts w:ascii="Times New Roman" w:hAnsi="Times New Roman"/>
          <w:sz w:val="28"/>
          <w:szCs w:val="28"/>
          <w:highlight w:val="white"/>
        </w:rPr>
        <w:t xml:space="preserve">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Доходы, прогнозируемые в объеме менее 1 тыс. руб., в прогноз не включены, а именно: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</w:t>
      </w:r>
      <w:r>
        <w:rPr>
          <w:rFonts w:ascii="Times New Roman" w:hAnsi="Times New Roman" w:cs="Times New Roman"/>
          <w:sz w:val="28"/>
          <w:szCs w:val="28"/>
        </w:rPr>
        <w:t xml:space="preserve">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(1 16 01083 01 0000 140);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должностными лицами органов исполнительной власти 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убъектов Российской Федерации, учреждениями субъектов Российской Федерации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1 16 01092 01 0000 140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етних и защите их 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1 16 01093 01 0000 140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овершеннолетних и защите их 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1 16 01103 01 0000 140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судьями, комиссиями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1 16 01143 01 0000 140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пункте 6 статьи 46 Бюджетного кодекса Российской Федерации), налагаемые мировыми судьями, комиссиями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1 16 01153 01 0000 140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16 Кодекса Российской Федерации об административных правонарушениях, за административные правонарушения в области таможенного дела (нарушение таможенных правил), налагаемые мировыми судьями, комиссиями по делам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несовершеннолетних и защите их 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1 16 01163 01 0000 140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ннолетних и защите их 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1 16 01173 01 0000 140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административные штрафы, установленные главой 21 Кодекса Российской Федерации об административных правонарушениях, за административные правонарушения в области воинского учета, налагаемые мировыми судьями, комиссиями по делам несовершеннолетних и защите их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прав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1 16 01213 01 0000 140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прочие неналоговые доходы бюджетов субъектов Российской Федерации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1 17 05020 02 0000 180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);</w:t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p>
      <w:pPr>
        <w:pStyle w:val="631"/>
        <w:numPr>
          <w:ilvl w:val="0"/>
          <w:numId w:val="7"/>
        </w:numPr>
        <w:ind w:left="0" w:right="0" w:firstLine="567"/>
        <w:jc w:val="both"/>
        <w:spacing w:after="0" w:line="240" w:lineRule="auto"/>
        <w:tabs>
          <w:tab w:val="left" w:pos="850" w:leader="none"/>
        </w:tabs>
        <w:rPr>
          <w:rFonts w:ascii="Times New Roman" w:hAnsi="Times New Roman" w:cs="Times New Roman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 (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1 17 16000 02 0000 180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).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>
        <w:rPr>
          <w:rFonts w:ascii="Times New Roman" w:hAnsi="Times New Roman" w:cs="Times New Roman"/>
          <w:sz w:val="28"/>
          <w:szCs w:val="28"/>
          <w:highlight w:val="none"/>
        </w:rPr>
      </w:r>
    </w:p>
    <w:sectPr>
      <w:footnotePr/>
      <w:endnotePr/>
      <w:type w:val="nextPage"/>
      <w:pgSz w:w="11906" w:h="16838" w:orient="portrait"/>
      <w:pgMar w:top="709" w:right="567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ourier New">
    <w:panose1 w:val="02070309020205020404"/>
  </w:font>
  <w:font w:name="Times New Roman">
    <w:panose1 w:val="02020603050405020304"/>
  </w:font>
  <w:font w:name="Tahoma">
    <w:panose1 w:val="020B060403050404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909" w:hanging="120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ascii="Times New Roman" w:hAnsi="Times New Roman" w:cs="Times New Roman" w:eastAsiaTheme="minorHAnsi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417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2137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857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3577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297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5017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737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57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7177" w:hanging="360"/>
      </w:pPr>
      <w:rPr>
        <w:rFonts w:hint="default" w:ascii="Wingdings" w:hAnsi="Wingdings" w:eastAsia="Wingdings" w:cs="Wingdings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7"/>
    <w:next w:val="62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7"/>
    <w:next w:val="62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2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7"/>
    <w:next w:val="62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2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7"/>
    <w:next w:val="62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7"/>
    <w:next w:val="62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7"/>
    <w:next w:val="62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7"/>
    <w:next w:val="62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7"/>
    <w:next w:val="62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7"/>
    <w:next w:val="62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7"/>
    <w:next w:val="62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8"/>
    <w:link w:val="34"/>
    <w:uiPriority w:val="10"/>
    <w:rPr>
      <w:sz w:val="48"/>
      <w:szCs w:val="48"/>
    </w:rPr>
  </w:style>
  <w:style w:type="paragraph" w:styleId="36">
    <w:name w:val="Subtitle"/>
    <w:basedOn w:val="627"/>
    <w:next w:val="62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8"/>
    <w:link w:val="36"/>
    <w:uiPriority w:val="11"/>
    <w:rPr>
      <w:sz w:val="24"/>
      <w:szCs w:val="24"/>
    </w:rPr>
  </w:style>
  <w:style w:type="paragraph" w:styleId="38">
    <w:name w:val="Quote"/>
    <w:basedOn w:val="627"/>
    <w:next w:val="62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7"/>
    <w:next w:val="62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8"/>
    <w:link w:val="42"/>
    <w:uiPriority w:val="99"/>
  </w:style>
  <w:style w:type="paragraph" w:styleId="44">
    <w:name w:val="Footer"/>
    <w:basedOn w:val="62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paragraph" w:styleId="46">
    <w:name w:val="Caption"/>
    <w:basedOn w:val="627"/>
    <w:next w:val="62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7"/>
    <w:next w:val="62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7"/>
    <w:next w:val="62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7"/>
    <w:next w:val="62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7"/>
    <w:next w:val="62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7"/>
    <w:next w:val="62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7"/>
    <w:next w:val="62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7"/>
    <w:next w:val="62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7"/>
    <w:next w:val="62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7"/>
    <w:next w:val="62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7"/>
    <w:next w:val="627"/>
    <w:uiPriority w:val="99"/>
    <w:unhideWhenUsed/>
    <w:pPr>
      <w:spacing w:after="0" w:afterAutospacing="0"/>
    </w:pPr>
  </w:style>
  <w:style w:type="paragraph" w:styleId="627" w:default="1">
    <w:name w:val="Normal"/>
    <w:qFormat/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paragraph" w:styleId="631">
    <w:name w:val="List Paragraph"/>
    <w:basedOn w:val="627"/>
    <w:uiPriority w:val="34"/>
    <w:qFormat/>
    <w:pPr>
      <w:contextualSpacing/>
      <w:ind w:left="720"/>
    </w:pPr>
  </w:style>
  <w:style w:type="paragraph" w:styleId="632">
    <w:name w:val="Balloon Text"/>
    <w:basedOn w:val="627"/>
    <w:link w:val="633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633" w:customStyle="1">
    <w:name w:val="Текст выноски Знак"/>
    <w:basedOn w:val="628"/>
    <w:link w:val="632"/>
    <w:uiPriority w:val="99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MFNSO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Рогожникова Екатерина Олеговна</dc:creator>
  <cp:revision>4</cp:revision>
  <dcterms:created xsi:type="dcterms:W3CDTF">2023-06-20T05:57:00Z</dcterms:created>
  <dcterms:modified xsi:type="dcterms:W3CDTF">2025-06-18T09:43:01Z</dcterms:modified>
</cp:coreProperties>
</file>